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1B78B1" w14:textId="77777777" w:rsidR="00C92C49" w:rsidRPr="00164F7F" w:rsidRDefault="00164F7F" w:rsidP="00164F7F">
      <w:pPr>
        <w:jc w:val="center"/>
        <w:rPr>
          <w:b/>
          <w:sz w:val="32"/>
          <w:szCs w:val="32"/>
        </w:rPr>
      </w:pPr>
      <w:r w:rsidRPr="00164F7F">
        <w:rPr>
          <w:b/>
          <w:sz w:val="32"/>
          <w:szCs w:val="32"/>
        </w:rPr>
        <w:t>Introduction task to the Balance of Payments</w:t>
      </w:r>
    </w:p>
    <w:p w14:paraId="48F1FA8A" w14:textId="77777777" w:rsidR="00164F7F" w:rsidRDefault="00164F7F"/>
    <w:p w14:paraId="06254A9E" w14:textId="77777777" w:rsidR="00164F7F" w:rsidRDefault="00164F7F" w:rsidP="00164F7F">
      <w:pPr>
        <w:spacing w:after="100"/>
        <w:jc w:val="both"/>
      </w:pPr>
      <w:r>
        <w:rPr>
          <w:b/>
        </w:rPr>
        <w:t>The Balance of Payments is a record of the financial transactions between one country and the international economy (i.e. the rest of the world) over the period of a year (or quarter).</w:t>
      </w:r>
      <w:r>
        <w:t xml:space="preserve"> </w:t>
      </w:r>
    </w:p>
    <w:p w14:paraId="5FAC31A4" w14:textId="310911F1" w:rsidR="00164F7F" w:rsidRDefault="00164F7F" w:rsidP="00164F7F">
      <w:pPr>
        <w:spacing w:after="100"/>
        <w:jc w:val="both"/>
      </w:pPr>
      <w:r>
        <w:t>The Balance of Payments Account is generally split into three sections: The Current Account, The Capital Account, The Financial Account and Reserves.</w:t>
      </w:r>
    </w:p>
    <w:p w14:paraId="6BF93ACA" w14:textId="77777777" w:rsidR="00164F7F" w:rsidRDefault="00164F7F"/>
    <w:p w14:paraId="53514BE5" w14:textId="47C80162" w:rsidR="00164F7F" w:rsidRDefault="00164F7F">
      <w:r>
        <w:t xml:space="preserve">Study the information </w:t>
      </w:r>
      <w:r w:rsidR="00C52F0A">
        <w:t xml:space="preserve">below </w:t>
      </w:r>
      <w:r>
        <w:t>on China’s Balan</w:t>
      </w:r>
      <w:r w:rsidR="006C00B9">
        <w:t>ce of Payments then answer the</w:t>
      </w:r>
      <w:r>
        <w:t xml:space="preserve"> questions</w:t>
      </w:r>
      <w:r w:rsidR="006C00B9">
        <w:t xml:space="preserve"> that follow</w:t>
      </w:r>
      <w:r>
        <w:t>:</w:t>
      </w:r>
    </w:p>
    <w:p w14:paraId="29A40431" w14:textId="77777777" w:rsidR="00C52F0A" w:rsidRPr="006C00B9" w:rsidRDefault="00C52F0A" w:rsidP="006C00B9">
      <w:pPr>
        <w:spacing w:before="100" w:beforeAutospacing="1" w:after="100" w:afterAutospacing="1"/>
        <w:jc w:val="center"/>
        <w:outlineLvl w:val="0"/>
        <w:rPr>
          <w:rFonts w:ascii="Times" w:eastAsia="Times New Roman" w:hAnsi="Times" w:cs="Times New Roman"/>
          <w:b/>
          <w:bCs/>
          <w:kern w:val="36"/>
          <w:sz w:val="28"/>
          <w:szCs w:val="28"/>
        </w:rPr>
      </w:pPr>
      <w:r w:rsidRPr="006C00B9">
        <w:rPr>
          <w:rFonts w:ascii="Times" w:eastAsia="Times New Roman" w:hAnsi="Times" w:cs="Times New Roman"/>
          <w:b/>
          <w:bCs/>
          <w:kern w:val="36"/>
          <w:sz w:val="28"/>
          <w:szCs w:val="28"/>
        </w:rPr>
        <w:t>Official Data Issued on China’s Balance of International Payments</w:t>
      </w:r>
    </w:p>
    <w:p w14:paraId="2449D7B6" w14:textId="77777777" w:rsidR="00C52F0A" w:rsidRPr="00115C98" w:rsidRDefault="00C52F0A" w:rsidP="00C52F0A">
      <w:pPr>
        <w:spacing w:before="100" w:beforeAutospacing="1" w:after="100" w:afterAutospacing="1"/>
        <w:jc w:val="both"/>
        <w:rPr>
          <w:rFonts w:ascii="Times" w:hAnsi="Times" w:cs="Times New Roman"/>
        </w:rPr>
      </w:pPr>
      <w:r w:rsidRPr="00115C98">
        <w:rPr>
          <w:rFonts w:ascii="Times" w:hAnsi="Times" w:cs="Times New Roman"/>
        </w:rPr>
        <w:t>Sept. 17 – China’s State Administration of Foreign Exchange (SAFE) recently released the official data on China’s balance of international payments for the second quarter and the first half of 2012. Details for the balance of international payments are listed below.</w:t>
      </w:r>
    </w:p>
    <w:p w14:paraId="3FE536D6" w14:textId="77777777" w:rsidR="00C52F0A" w:rsidRPr="00115C98" w:rsidRDefault="00C52F0A" w:rsidP="00C52F0A">
      <w:pPr>
        <w:spacing w:before="100" w:beforeAutospacing="1" w:after="100" w:afterAutospacing="1"/>
        <w:jc w:val="both"/>
        <w:rPr>
          <w:rFonts w:ascii="Times" w:hAnsi="Times" w:cs="Times New Roman"/>
        </w:rPr>
      </w:pPr>
      <w:r w:rsidRPr="00115C98">
        <w:rPr>
          <w:rFonts w:ascii="Times" w:hAnsi="Times" w:cs="Times New Roman"/>
          <w:b/>
          <w:bCs/>
        </w:rPr>
        <w:t>In the second quarter of 2012, the surplus of current accounts reached US$53.7 billion, among which:</w:t>
      </w:r>
    </w:p>
    <w:p w14:paraId="577581CA" w14:textId="77777777" w:rsidR="00C52F0A" w:rsidRPr="00115C98" w:rsidRDefault="00C52F0A" w:rsidP="00C52F0A">
      <w:pPr>
        <w:numPr>
          <w:ilvl w:val="0"/>
          <w:numId w:val="2"/>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Goods trade surplus stood at US$90.9 billion</w:t>
      </w:r>
    </w:p>
    <w:p w14:paraId="5200F840" w14:textId="77777777" w:rsidR="00C52F0A" w:rsidRPr="00115C98" w:rsidRDefault="00C52F0A" w:rsidP="00C52F0A">
      <w:pPr>
        <w:numPr>
          <w:ilvl w:val="0"/>
          <w:numId w:val="2"/>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Service trade deficit amounted to US$22.2 billion</w:t>
      </w:r>
    </w:p>
    <w:p w14:paraId="0A408F3D" w14:textId="77777777" w:rsidR="00C52F0A" w:rsidRPr="00115C98" w:rsidRDefault="00C52F0A" w:rsidP="00C52F0A">
      <w:pPr>
        <w:numPr>
          <w:ilvl w:val="0"/>
          <w:numId w:val="2"/>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Income deficit reached US$15.6 billion</w:t>
      </w:r>
    </w:p>
    <w:p w14:paraId="69C3BE6C" w14:textId="77777777" w:rsidR="00C52F0A" w:rsidRPr="00115C98" w:rsidRDefault="00C52F0A" w:rsidP="00C52F0A">
      <w:pPr>
        <w:numPr>
          <w:ilvl w:val="0"/>
          <w:numId w:val="2"/>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Current transfer surplus achieved US$600 million</w:t>
      </w:r>
    </w:p>
    <w:p w14:paraId="156D15F8" w14:textId="77777777" w:rsidR="00C52F0A" w:rsidRPr="00115C98" w:rsidRDefault="00C52F0A" w:rsidP="00C52F0A">
      <w:pPr>
        <w:spacing w:before="100" w:beforeAutospacing="1" w:after="100" w:afterAutospacing="1"/>
        <w:jc w:val="both"/>
        <w:rPr>
          <w:rFonts w:ascii="Times" w:hAnsi="Times" w:cs="Times New Roman"/>
        </w:rPr>
      </w:pPr>
      <w:r w:rsidRPr="00115C98">
        <w:rPr>
          <w:rFonts w:ascii="Times" w:hAnsi="Times" w:cs="Times New Roman"/>
          <w:b/>
          <w:bCs/>
        </w:rPr>
        <w:t>The deficit of the capital and financial accounts amounted to US$41.2 billion, among which:</w:t>
      </w:r>
    </w:p>
    <w:p w14:paraId="14F091AE" w14:textId="77777777" w:rsidR="00C52F0A" w:rsidRPr="00115C98" w:rsidRDefault="00C52F0A" w:rsidP="00C52F0A">
      <w:pPr>
        <w:numPr>
          <w:ilvl w:val="0"/>
          <w:numId w:val="3"/>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Net inflow of direct investment achieved US$41.1 billion</w:t>
      </w:r>
    </w:p>
    <w:p w14:paraId="6C1177BB" w14:textId="77777777" w:rsidR="00C52F0A" w:rsidRPr="00115C98" w:rsidRDefault="00C52F0A" w:rsidP="00C52F0A">
      <w:pPr>
        <w:numPr>
          <w:ilvl w:val="0"/>
          <w:numId w:val="3"/>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Net inflow of securities investment reached US$11.1 billion</w:t>
      </w:r>
    </w:p>
    <w:p w14:paraId="752B319F" w14:textId="77777777" w:rsidR="00C52F0A" w:rsidRPr="00115C98" w:rsidRDefault="00C52F0A" w:rsidP="00C52F0A">
      <w:pPr>
        <w:numPr>
          <w:ilvl w:val="0"/>
          <w:numId w:val="3"/>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Net outflow of other investments stood at US$94.4 billion</w:t>
      </w:r>
    </w:p>
    <w:p w14:paraId="151BA829" w14:textId="77777777" w:rsidR="00C52F0A" w:rsidRPr="00115C98" w:rsidRDefault="00C52F0A" w:rsidP="00C52F0A">
      <w:pPr>
        <w:spacing w:before="100" w:beforeAutospacing="1" w:after="100" w:afterAutospacing="1"/>
        <w:jc w:val="both"/>
        <w:rPr>
          <w:rFonts w:ascii="Times" w:hAnsi="Times" w:cs="Times New Roman"/>
        </w:rPr>
      </w:pPr>
      <w:r w:rsidRPr="00115C98">
        <w:rPr>
          <w:rFonts w:ascii="Times" w:hAnsi="Times" w:cs="Times New Roman"/>
          <w:b/>
          <w:bCs/>
        </w:rPr>
        <w:t xml:space="preserve">International reserve assets </w:t>
      </w:r>
      <w:r>
        <w:rPr>
          <w:rFonts w:ascii="Times" w:hAnsi="Times" w:cs="Times New Roman"/>
          <w:b/>
          <w:bCs/>
        </w:rPr>
        <w:t>increased</w:t>
      </w:r>
      <w:r w:rsidRPr="00115C98">
        <w:rPr>
          <w:rFonts w:ascii="Times" w:hAnsi="Times" w:cs="Times New Roman"/>
          <w:b/>
          <w:bCs/>
        </w:rPr>
        <w:t xml:space="preserve"> by US$11.8 billion (excluding exchange rate, price and other non-trading value change effects), among which:</w:t>
      </w:r>
    </w:p>
    <w:p w14:paraId="610EE90F" w14:textId="77777777" w:rsidR="00C52F0A" w:rsidRPr="00115C98" w:rsidRDefault="00C52F0A" w:rsidP="00C52F0A">
      <w:pPr>
        <w:numPr>
          <w:ilvl w:val="0"/>
          <w:numId w:val="4"/>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 xml:space="preserve">Foreign exchange reserves </w:t>
      </w:r>
      <w:r>
        <w:rPr>
          <w:rFonts w:ascii="Times" w:eastAsia="Times New Roman" w:hAnsi="Times" w:cs="Times New Roman"/>
        </w:rPr>
        <w:t>increased</w:t>
      </w:r>
      <w:r w:rsidRPr="00115C98">
        <w:rPr>
          <w:rFonts w:ascii="Times" w:eastAsia="Times New Roman" w:hAnsi="Times" w:cs="Times New Roman"/>
        </w:rPr>
        <w:t xml:space="preserve"> by US$11.2 billion</w:t>
      </w:r>
    </w:p>
    <w:p w14:paraId="140FDF2F" w14:textId="77777777" w:rsidR="00C52F0A" w:rsidRPr="00115C98" w:rsidRDefault="00C52F0A" w:rsidP="00C52F0A">
      <w:pPr>
        <w:numPr>
          <w:ilvl w:val="0"/>
          <w:numId w:val="4"/>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 xml:space="preserve">Special Drawing Rights and reserve position in fund organizations </w:t>
      </w:r>
      <w:r>
        <w:rPr>
          <w:rFonts w:ascii="Times" w:eastAsia="Times New Roman" w:hAnsi="Times" w:cs="Times New Roman"/>
        </w:rPr>
        <w:t>increased</w:t>
      </w:r>
      <w:r w:rsidRPr="00115C98">
        <w:rPr>
          <w:rFonts w:ascii="Times" w:eastAsia="Times New Roman" w:hAnsi="Times" w:cs="Times New Roman"/>
        </w:rPr>
        <w:t xml:space="preserve"> by US$500 million</w:t>
      </w:r>
    </w:p>
    <w:p w14:paraId="7E014C0E" w14:textId="5A2B3CA6" w:rsidR="00C52F0A" w:rsidRDefault="006C00B9" w:rsidP="00164F7F">
      <w:pPr>
        <w:pStyle w:val="ListParagraph"/>
      </w:pPr>
      <w:r>
        <w:t>Q1. What four transactions are recorded in the current account</w:t>
      </w:r>
      <w:r w:rsidR="002D4581">
        <w:t>?</w:t>
      </w:r>
    </w:p>
    <w:p w14:paraId="2E5AD299" w14:textId="77777777" w:rsidR="002D4581" w:rsidRDefault="002D4581" w:rsidP="00164F7F">
      <w:pPr>
        <w:pStyle w:val="ListParagraph"/>
      </w:pPr>
    </w:p>
    <w:p w14:paraId="16692132" w14:textId="0DCC27F0" w:rsidR="002D4581" w:rsidRDefault="002D4581" w:rsidP="00164F7F">
      <w:pPr>
        <w:pStyle w:val="ListParagraph"/>
      </w:pPr>
      <w:r>
        <w:t>Q2. The Balance of Trade is the sum of the balances of goods and services traded.  Calculate China’s Balance of Trade for this period.</w:t>
      </w:r>
    </w:p>
    <w:p w14:paraId="6D4E01E9" w14:textId="77777777" w:rsidR="002D4581" w:rsidRDefault="002D4581" w:rsidP="00164F7F">
      <w:pPr>
        <w:pStyle w:val="ListParagraph"/>
      </w:pPr>
      <w:bookmarkStart w:id="0" w:name="_GoBack"/>
      <w:bookmarkEnd w:id="0"/>
    </w:p>
    <w:p w14:paraId="5FB3BFA6" w14:textId="5BD2502E" w:rsidR="002D4581" w:rsidRDefault="002D4581" w:rsidP="00164F7F">
      <w:pPr>
        <w:pStyle w:val="ListParagraph"/>
      </w:pPr>
      <w:r>
        <w:t>Q3. What is the difference between direct investment and securities investment?</w:t>
      </w:r>
    </w:p>
    <w:sectPr w:rsidR="002D4581" w:rsidSect="002D4581">
      <w:pgSz w:w="12240" w:h="15840"/>
      <w:pgMar w:top="117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F55EB"/>
    <w:multiLevelType w:val="multilevel"/>
    <w:tmpl w:val="A05EB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144E7D"/>
    <w:multiLevelType w:val="multilevel"/>
    <w:tmpl w:val="947C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322907"/>
    <w:multiLevelType w:val="hybridMultilevel"/>
    <w:tmpl w:val="B540F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9B3AE5"/>
    <w:multiLevelType w:val="multilevel"/>
    <w:tmpl w:val="38DCA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F7F"/>
    <w:rsid w:val="00164F7F"/>
    <w:rsid w:val="002570E8"/>
    <w:rsid w:val="002D4581"/>
    <w:rsid w:val="0033701E"/>
    <w:rsid w:val="00423DBD"/>
    <w:rsid w:val="004817EA"/>
    <w:rsid w:val="00650A6C"/>
    <w:rsid w:val="006C00B9"/>
    <w:rsid w:val="00C52F0A"/>
    <w:rsid w:val="00C92C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756339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F7F"/>
    <w:pPr>
      <w:ind w:left="720"/>
      <w:contextualSpacing/>
    </w:pPr>
  </w:style>
  <w:style w:type="character" w:styleId="Hyperlink">
    <w:name w:val="Hyperlink"/>
    <w:basedOn w:val="DefaultParagraphFont"/>
    <w:uiPriority w:val="99"/>
    <w:unhideWhenUsed/>
    <w:rsid w:val="00C52F0A"/>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F7F"/>
    <w:pPr>
      <w:ind w:left="720"/>
      <w:contextualSpacing/>
    </w:pPr>
  </w:style>
  <w:style w:type="character" w:styleId="Hyperlink">
    <w:name w:val="Hyperlink"/>
    <w:basedOn w:val="DefaultParagraphFont"/>
    <w:uiPriority w:val="99"/>
    <w:unhideWhenUsed/>
    <w:rsid w:val="00C52F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290</Words>
  <Characters>1653</Characters>
  <Application>Microsoft Macintosh Word</Application>
  <DocSecurity>0</DocSecurity>
  <Lines>13</Lines>
  <Paragraphs>3</Paragraphs>
  <ScaleCrop>false</ScaleCrop>
  <Company>DCS</Company>
  <LinksUpToDate>false</LinksUpToDate>
  <CharactersWithSpaces>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cp:lastPrinted>2012-11-06T02:06:00Z</cp:lastPrinted>
  <dcterms:created xsi:type="dcterms:W3CDTF">2014-11-24T11:16:00Z</dcterms:created>
  <dcterms:modified xsi:type="dcterms:W3CDTF">2014-12-01T07:42:00Z</dcterms:modified>
</cp:coreProperties>
</file>